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DC6A4" w14:textId="77777777" w:rsidR="000A5988" w:rsidRDefault="00BE5B46" w:rsidP="00B71DFC">
      <w:pPr>
        <w:jc w:val="center"/>
        <w:rPr>
          <w:rFonts w:ascii="Arial" w:hAnsi="Arial" w:cs="Arial"/>
          <w:b/>
          <w:bCs/>
          <w:color w:val="58595B"/>
          <w:sz w:val="21"/>
          <w:szCs w:val="21"/>
        </w:rPr>
      </w:pPr>
      <w:r>
        <w:rPr>
          <w:noProof/>
          <w:lang w:val="fr-FR" w:eastAsia="fr-FR"/>
        </w:rPr>
        <w:drawing>
          <wp:anchor distT="0" distB="0" distL="114300" distR="114300" simplePos="0" relativeHeight="251658752" behindDoc="0" locked="0" layoutInCell="1" allowOverlap="1" wp14:anchorId="4C0EF51F" wp14:editId="74DE8EB5">
            <wp:simplePos x="0" y="0"/>
            <wp:positionH relativeFrom="column">
              <wp:posOffset>5443855</wp:posOffset>
            </wp:positionH>
            <wp:positionV relativeFrom="paragraph">
              <wp:posOffset>0</wp:posOffset>
            </wp:positionV>
            <wp:extent cx="730250" cy="962025"/>
            <wp:effectExtent l="0" t="0" r="0" b="9525"/>
            <wp:wrapSquare wrapText="bothSides"/>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025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6704" behindDoc="0" locked="0" layoutInCell="1" allowOverlap="1" wp14:anchorId="1915BDE7" wp14:editId="7222FC0A">
            <wp:simplePos x="0" y="0"/>
            <wp:positionH relativeFrom="page">
              <wp:posOffset>142875</wp:posOffset>
            </wp:positionH>
            <wp:positionV relativeFrom="paragraph">
              <wp:posOffset>167005</wp:posOffset>
            </wp:positionV>
            <wp:extent cx="2105025" cy="593090"/>
            <wp:effectExtent l="0" t="0" r="9525" b="0"/>
            <wp:wrapSquare wrapText="bothSides"/>
            <wp:docPr id="3" name="Image 4" descr="https://esl.ut-capitole.fr/medias/photo/logo-cejm-europe_1520435639053-jpg?ID_FICHE=12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s://esl.ut-capitole.fr/medias/photo/logo-cejm-europe_1520435639053-jpg?ID_FICHE=1229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593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5A86E0" w14:textId="77777777" w:rsidR="000A5988" w:rsidRDefault="00BE5B46" w:rsidP="00B71DFC">
      <w:pPr>
        <w:jc w:val="center"/>
        <w:rPr>
          <w:rFonts w:ascii="Arial" w:hAnsi="Arial" w:cs="Arial"/>
          <w:b/>
          <w:bCs/>
          <w:color w:val="58595B"/>
          <w:sz w:val="21"/>
          <w:szCs w:val="21"/>
        </w:rPr>
      </w:pPr>
      <w:r>
        <w:rPr>
          <w:noProof/>
          <w:lang w:val="fr-FR" w:eastAsia="fr-FR"/>
        </w:rPr>
        <w:drawing>
          <wp:anchor distT="0" distB="0" distL="114300" distR="114300" simplePos="0" relativeHeight="251657728" behindDoc="0" locked="0" layoutInCell="1" allowOverlap="1" wp14:anchorId="432C0385" wp14:editId="0A8FD0C6">
            <wp:simplePos x="0" y="0"/>
            <wp:positionH relativeFrom="margin">
              <wp:align>center</wp:align>
            </wp:positionH>
            <wp:positionV relativeFrom="paragraph">
              <wp:posOffset>18415</wp:posOffset>
            </wp:positionV>
            <wp:extent cx="2028825" cy="588645"/>
            <wp:effectExtent l="0" t="0" r="9525" b="1905"/>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588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51E9C" w14:textId="77777777" w:rsidR="00321DFC" w:rsidRDefault="00321DFC" w:rsidP="00B71DFC">
      <w:pPr>
        <w:jc w:val="center"/>
        <w:rPr>
          <w:rFonts w:ascii="Arial" w:hAnsi="Arial" w:cs="Arial"/>
          <w:b/>
          <w:bCs/>
          <w:color w:val="58595B"/>
          <w:sz w:val="21"/>
          <w:szCs w:val="21"/>
        </w:rPr>
      </w:pPr>
    </w:p>
    <w:p w14:paraId="44A41B57" w14:textId="77777777" w:rsidR="00AC3E5E" w:rsidRDefault="00AC3E5E" w:rsidP="00B71DFC">
      <w:pPr>
        <w:jc w:val="center"/>
        <w:rPr>
          <w:rFonts w:ascii="Arial" w:hAnsi="Arial" w:cs="Arial"/>
          <w:b/>
          <w:bCs/>
          <w:color w:val="58595B"/>
          <w:sz w:val="21"/>
          <w:szCs w:val="21"/>
        </w:rPr>
      </w:pPr>
    </w:p>
    <w:p w14:paraId="66B9BC2F" w14:textId="77777777" w:rsidR="00AC3E5E" w:rsidRDefault="00AC3E5E" w:rsidP="00B71DFC">
      <w:pPr>
        <w:jc w:val="center"/>
        <w:rPr>
          <w:rFonts w:ascii="Arial" w:hAnsi="Arial" w:cs="Arial"/>
          <w:b/>
          <w:bCs/>
          <w:color w:val="58595B"/>
          <w:sz w:val="21"/>
          <w:szCs w:val="21"/>
        </w:rPr>
      </w:pPr>
    </w:p>
    <w:p w14:paraId="7E754045" w14:textId="77777777" w:rsidR="00AC3E5E" w:rsidRDefault="00AC3E5E" w:rsidP="00B71DFC">
      <w:pPr>
        <w:jc w:val="center"/>
        <w:rPr>
          <w:rFonts w:ascii="Arial" w:hAnsi="Arial" w:cs="Arial"/>
          <w:b/>
          <w:bCs/>
          <w:color w:val="58595B"/>
          <w:sz w:val="21"/>
          <w:szCs w:val="21"/>
        </w:rPr>
      </w:pPr>
    </w:p>
    <w:p w14:paraId="732F982A" w14:textId="77777777" w:rsidR="00AC3E5E" w:rsidRDefault="00AC3E5E" w:rsidP="00B71DFC">
      <w:pPr>
        <w:jc w:val="center"/>
        <w:rPr>
          <w:rFonts w:ascii="Arial" w:hAnsi="Arial" w:cs="Arial"/>
          <w:b/>
          <w:bCs/>
          <w:color w:val="58595B"/>
          <w:sz w:val="21"/>
          <w:szCs w:val="21"/>
        </w:rPr>
      </w:pPr>
    </w:p>
    <w:p w14:paraId="03ED8244" w14:textId="77777777" w:rsidR="00AC3E5E" w:rsidRDefault="00AC3E5E" w:rsidP="00B71DFC">
      <w:pPr>
        <w:jc w:val="center"/>
        <w:rPr>
          <w:rFonts w:ascii="Arial" w:hAnsi="Arial" w:cs="Arial"/>
          <w:b/>
          <w:bCs/>
          <w:color w:val="58595B"/>
          <w:sz w:val="21"/>
          <w:szCs w:val="21"/>
        </w:rPr>
      </w:pPr>
    </w:p>
    <w:p w14:paraId="49AB19AF" w14:textId="77777777" w:rsidR="00AC3E5E" w:rsidRDefault="00AC3E5E" w:rsidP="00B71DFC">
      <w:pPr>
        <w:jc w:val="center"/>
        <w:rPr>
          <w:rFonts w:ascii="Arial" w:hAnsi="Arial" w:cs="Arial"/>
          <w:b/>
          <w:bCs/>
          <w:color w:val="58595B"/>
          <w:sz w:val="21"/>
          <w:szCs w:val="21"/>
        </w:rPr>
      </w:pPr>
    </w:p>
    <w:p w14:paraId="44052424" w14:textId="77777777" w:rsidR="00D447C5" w:rsidRDefault="00802ACA" w:rsidP="00B71DFC">
      <w:pPr>
        <w:jc w:val="center"/>
        <w:rPr>
          <w:rFonts w:ascii="Arial" w:hAnsi="Arial" w:cs="Arial"/>
          <w:b/>
          <w:bCs/>
          <w:color w:val="58595B"/>
          <w:sz w:val="21"/>
          <w:szCs w:val="21"/>
        </w:rPr>
      </w:pPr>
      <w:r>
        <w:rPr>
          <w:rFonts w:ascii="Arial" w:hAnsi="Arial"/>
          <w:b/>
          <w:color w:val="58595B"/>
          <w:sz w:val="21"/>
        </w:rPr>
        <w:t>Call for candidates</w:t>
      </w:r>
    </w:p>
    <w:p w14:paraId="1448638E" w14:textId="77777777" w:rsidR="00D447C5" w:rsidRDefault="00D447C5" w:rsidP="00D447C5">
      <w:pPr>
        <w:rPr>
          <w:rFonts w:ascii="Arial" w:hAnsi="Arial" w:cs="Arial"/>
          <w:b/>
          <w:bCs/>
          <w:color w:val="58595B"/>
          <w:sz w:val="21"/>
          <w:szCs w:val="21"/>
        </w:rPr>
      </w:pPr>
    </w:p>
    <w:p w14:paraId="381FF655" w14:textId="77777777" w:rsidR="00D447C5" w:rsidRDefault="00D447C5" w:rsidP="00D447C5">
      <w:pPr>
        <w:rPr>
          <w:rFonts w:ascii="Arial" w:hAnsi="Arial" w:cs="Arial"/>
          <w:b/>
          <w:bCs/>
          <w:color w:val="58595B"/>
          <w:sz w:val="21"/>
          <w:szCs w:val="21"/>
        </w:rPr>
      </w:pPr>
    </w:p>
    <w:p w14:paraId="3D39FA1D" w14:textId="77777777" w:rsidR="00D447C5" w:rsidRPr="00D921E6" w:rsidRDefault="00802ACA" w:rsidP="006934A5">
      <w:pPr>
        <w:jc w:val="center"/>
        <w:rPr>
          <w:rFonts w:ascii="Times New Roman" w:hAnsi="Times New Roman"/>
        </w:rPr>
      </w:pPr>
      <w:r>
        <w:rPr>
          <w:rFonts w:ascii="Arial" w:hAnsi="Arial"/>
          <w:b/>
          <w:color w:val="58595B"/>
          <w:sz w:val="21"/>
        </w:rPr>
        <w:t xml:space="preserve">Applications should be sent </w:t>
      </w:r>
      <w:r>
        <w:rPr>
          <w:rFonts w:ascii="Arial" w:hAnsi="Arial"/>
          <w:b/>
          <w:sz w:val="21"/>
        </w:rPr>
        <w:t>before April 3, 2020</w:t>
      </w:r>
    </w:p>
    <w:p w14:paraId="743CFF34" w14:textId="77777777" w:rsidR="001D0AFC" w:rsidRPr="00D921E6" w:rsidRDefault="001D0AFC"/>
    <w:p w14:paraId="63175178" w14:textId="77777777" w:rsidR="00D447C5" w:rsidRPr="00D921E6" w:rsidRDefault="00D447C5"/>
    <w:p w14:paraId="109D51DF" w14:textId="77777777" w:rsidR="00D447C5" w:rsidRPr="00D921E6" w:rsidRDefault="00802ACA" w:rsidP="00D447C5">
      <w:pPr>
        <w:jc w:val="both"/>
        <w:rPr>
          <w:rFonts w:ascii="Georgia" w:hAnsi="Georgia"/>
          <w:sz w:val="27"/>
          <w:szCs w:val="27"/>
          <w:shd w:val="clear" w:color="000000" w:fill="auto"/>
        </w:rPr>
      </w:pPr>
      <w:r>
        <w:rPr>
          <w:rFonts w:ascii="Georgia" w:hAnsi="Georgia"/>
          <w:sz w:val="27"/>
        </w:rPr>
        <w:t xml:space="preserve">The European School of Law Toulouse and its partner universities are organizing and hosting the </w:t>
      </w:r>
      <w:r>
        <w:rPr>
          <w:rFonts w:ascii="Georgia" w:hAnsi="Georgia"/>
          <w:b/>
          <w:sz w:val="27"/>
        </w:rPr>
        <w:t>fifth edition of the Doctoral Workshops</w:t>
      </w:r>
      <w:r>
        <w:rPr>
          <w:rFonts w:ascii="Georgia" w:hAnsi="Georgia"/>
          <w:sz w:val="27"/>
        </w:rPr>
        <w:t xml:space="preserve"> </w:t>
      </w:r>
      <w:r>
        <w:rPr>
          <w:rFonts w:ascii="Georgia" w:hAnsi="Georgia"/>
          <w:b/>
          <w:sz w:val="27"/>
        </w:rPr>
        <w:t>on Thursday July 2 and Friday, July 3 2020</w:t>
      </w:r>
      <w:r>
        <w:rPr>
          <w:rFonts w:ascii="Georgia" w:hAnsi="Georgia"/>
          <w:sz w:val="27"/>
        </w:rPr>
        <w:t xml:space="preserve">at the Toulouse 1 Capitole University. </w:t>
      </w:r>
    </w:p>
    <w:p w14:paraId="7E5A935A" w14:textId="77777777" w:rsidR="00D447C5" w:rsidRPr="00D921E6" w:rsidRDefault="00D447C5" w:rsidP="00D447C5">
      <w:pPr>
        <w:rPr>
          <w:rFonts w:ascii="Georgia" w:hAnsi="Georgia"/>
          <w:sz w:val="27"/>
          <w:szCs w:val="27"/>
          <w:shd w:val="clear" w:color="000000" w:fill="auto"/>
        </w:rPr>
      </w:pPr>
    </w:p>
    <w:p w14:paraId="73D3DE80" w14:textId="77777777" w:rsidR="00D447C5" w:rsidRPr="00FE4AE0" w:rsidRDefault="00802ACA" w:rsidP="00D447C5">
      <w:pPr>
        <w:jc w:val="both"/>
        <w:rPr>
          <w:rFonts w:ascii="Georgia" w:hAnsi="Georgia"/>
          <w:sz w:val="27"/>
          <w:szCs w:val="27"/>
          <w:shd w:val="clear" w:color="000000" w:fill="auto"/>
        </w:rPr>
      </w:pPr>
      <w:r>
        <w:rPr>
          <w:rFonts w:ascii="Georgia" w:hAnsi="Georgia"/>
          <w:sz w:val="27"/>
        </w:rPr>
        <w:t xml:space="preserve">After the </w:t>
      </w:r>
      <w:r w:rsidR="00D370D6">
        <w:rPr>
          <w:rFonts w:ascii="Georgia" w:hAnsi="Georgia"/>
          <w:sz w:val="27"/>
        </w:rPr>
        <w:t xml:space="preserve">preceding themes of </w:t>
      </w:r>
      <w:r w:rsidR="00D370D6">
        <w:rPr>
          <w:rFonts w:ascii="Georgia" w:hAnsi="Georgia"/>
          <w:i/>
          <w:sz w:val="27"/>
        </w:rPr>
        <w:t>G</w:t>
      </w:r>
      <w:r w:rsidRPr="00D370D6">
        <w:rPr>
          <w:rFonts w:ascii="Georgia" w:hAnsi="Georgia"/>
          <w:i/>
          <w:sz w:val="27"/>
        </w:rPr>
        <w:t>eneral principles of law</w:t>
      </w:r>
      <w:r>
        <w:rPr>
          <w:rFonts w:ascii="Georgia" w:hAnsi="Georgia"/>
          <w:sz w:val="27"/>
        </w:rPr>
        <w:t xml:space="preserve">, </w:t>
      </w:r>
      <w:r w:rsidR="00D370D6">
        <w:rPr>
          <w:rFonts w:ascii="Georgia" w:hAnsi="Georgia"/>
          <w:i/>
          <w:sz w:val="27"/>
        </w:rPr>
        <w:t>J</w:t>
      </w:r>
      <w:r w:rsidRPr="00D370D6">
        <w:rPr>
          <w:rFonts w:ascii="Georgia" w:hAnsi="Georgia"/>
          <w:i/>
          <w:sz w:val="27"/>
        </w:rPr>
        <w:t>udicial creation of law and dialog</w:t>
      </w:r>
      <w:r w:rsidR="00D370D6" w:rsidRPr="00D370D6">
        <w:rPr>
          <w:rFonts w:ascii="Georgia" w:hAnsi="Georgia"/>
          <w:i/>
          <w:sz w:val="27"/>
        </w:rPr>
        <w:t>ue</w:t>
      </w:r>
      <w:r w:rsidRPr="00D370D6">
        <w:rPr>
          <w:rFonts w:ascii="Georgia" w:hAnsi="Georgia"/>
          <w:i/>
          <w:sz w:val="27"/>
        </w:rPr>
        <w:t xml:space="preserve"> between courts</w:t>
      </w:r>
      <w:r>
        <w:rPr>
          <w:rFonts w:ascii="Georgia" w:hAnsi="Georgia"/>
          <w:sz w:val="27"/>
        </w:rPr>
        <w:t xml:space="preserve">, </w:t>
      </w:r>
      <w:r w:rsidR="00D370D6">
        <w:rPr>
          <w:rFonts w:ascii="Georgia" w:hAnsi="Georgia"/>
          <w:i/>
          <w:sz w:val="27"/>
        </w:rPr>
        <w:t>C</w:t>
      </w:r>
      <w:r w:rsidRPr="00D370D6">
        <w:rPr>
          <w:rFonts w:ascii="Georgia" w:hAnsi="Georgia"/>
          <w:i/>
          <w:sz w:val="27"/>
        </w:rPr>
        <w:t>itizenship</w:t>
      </w:r>
      <w:r>
        <w:rPr>
          <w:rFonts w:ascii="Georgia" w:hAnsi="Georgia"/>
          <w:sz w:val="27"/>
        </w:rPr>
        <w:t xml:space="preserve">, and </w:t>
      </w:r>
      <w:r w:rsidR="00D370D6">
        <w:rPr>
          <w:rFonts w:ascii="Georgia" w:hAnsi="Georgia"/>
          <w:i/>
          <w:sz w:val="27"/>
        </w:rPr>
        <w:t>T</w:t>
      </w:r>
      <w:r w:rsidRPr="00D370D6">
        <w:rPr>
          <w:rFonts w:ascii="Georgia" w:hAnsi="Georgia"/>
          <w:i/>
          <w:sz w:val="27"/>
        </w:rPr>
        <w:t>he rule of law</w:t>
      </w:r>
      <w:r>
        <w:rPr>
          <w:rFonts w:ascii="Georgia" w:hAnsi="Georgia"/>
          <w:sz w:val="27"/>
        </w:rPr>
        <w:t>, this edition of the doctoral workshops will cover the following theme:</w:t>
      </w:r>
    </w:p>
    <w:p w14:paraId="220BC99D" w14:textId="77777777" w:rsidR="00D447C5" w:rsidRPr="00FE4AE0" w:rsidRDefault="00802ACA" w:rsidP="00D447C5">
      <w:pPr>
        <w:rPr>
          <w:rFonts w:ascii="Georgia" w:hAnsi="Georgia"/>
          <w:sz w:val="27"/>
          <w:szCs w:val="27"/>
          <w:shd w:val="clear" w:color="000000" w:fill="auto"/>
        </w:rPr>
      </w:pPr>
      <w:r>
        <w:rPr>
          <w:rFonts w:ascii="Georgia" w:hAnsi="Georgia"/>
          <w:sz w:val="27"/>
        </w:rPr>
        <w:tab/>
      </w:r>
      <w:r>
        <w:rPr>
          <w:rFonts w:ascii="Georgia" w:hAnsi="Georgia"/>
          <w:sz w:val="27"/>
        </w:rPr>
        <w:tab/>
      </w:r>
      <w:r>
        <w:rPr>
          <w:rFonts w:ascii="Georgia" w:hAnsi="Georgia"/>
          <w:sz w:val="27"/>
        </w:rPr>
        <w:tab/>
      </w:r>
    </w:p>
    <w:p w14:paraId="39426247" w14:textId="77777777" w:rsidR="00D447C5" w:rsidRPr="00FE4AE0" w:rsidRDefault="00802ACA" w:rsidP="00D447C5">
      <w:pPr>
        <w:ind w:left="2124" w:firstLine="708"/>
        <w:rPr>
          <w:rFonts w:ascii="Georgia" w:hAnsi="Georgia"/>
          <w:b/>
          <w:sz w:val="32"/>
          <w:szCs w:val="32"/>
          <w:shd w:val="clear" w:color="000000" w:fill="auto"/>
        </w:rPr>
      </w:pPr>
      <w:r>
        <w:rPr>
          <w:rFonts w:ascii="Georgia" w:hAnsi="Georgia"/>
          <w:b/>
          <w:i/>
          <w:sz w:val="32"/>
        </w:rPr>
        <w:t>Compliance</w:t>
      </w:r>
    </w:p>
    <w:p w14:paraId="42C11A41" w14:textId="77777777" w:rsidR="00D447C5" w:rsidRPr="00FE4AE0" w:rsidRDefault="00D447C5" w:rsidP="00D447C5">
      <w:pPr>
        <w:rPr>
          <w:rFonts w:ascii="Georgia" w:hAnsi="Georgia"/>
          <w:sz w:val="27"/>
          <w:szCs w:val="27"/>
          <w:shd w:val="clear" w:color="000000" w:fill="auto"/>
        </w:rPr>
      </w:pPr>
    </w:p>
    <w:p w14:paraId="05190F00" w14:textId="77777777" w:rsidR="00D447C5" w:rsidRPr="00FE4AE0" w:rsidRDefault="00802ACA" w:rsidP="008809E9">
      <w:pPr>
        <w:jc w:val="both"/>
        <w:rPr>
          <w:rFonts w:ascii="Georgia" w:hAnsi="Georgia"/>
          <w:sz w:val="27"/>
          <w:szCs w:val="27"/>
          <w:shd w:val="clear" w:color="000000" w:fill="auto"/>
        </w:rPr>
      </w:pPr>
      <w:r>
        <w:rPr>
          <w:rFonts w:ascii="Georgia" w:hAnsi="Georgia"/>
          <w:sz w:val="27"/>
        </w:rPr>
        <w:t xml:space="preserve">The objective of these workshops will be to better understand the concept of </w:t>
      </w:r>
      <w:r>
        <w:rPr>
          <w:rFonts w:ascii="Georgia" w:hAnsi="Georgia"/>
          <w:i/>
          <w:sz w:val="27"/>
        </w:rPr>
        <w:t>compliance</w:t>
      </w:r>
      <w:r>
        <w:rPr>
          <w:rFonts w:ascii="Georgia" w:hAnsi="Georgia"/>
          <w:sz w:val="27"/>
        </w:rPr>
        <w:t xml:space="preserve">, in all its forms, its complexity, and its multidisciplinary nature. </w:t>
      </w:r>
      <w:r>
        <w:rPr>
          <w:rFonts w:ascii="Georgia" w:hAnsi="Georgia"/>
          <w:i/>
          <w:sz w:val="27"/>
        </w:rPr>
        <w:t>Compliance</w:t>
      </w:r>
      <w:r>
        <w:rPr>
          <w:rFonts w:ascii="Georgia" w:hAnsi="Georgia"/>
          <w:sz w:val="27"/>
        </w:rPr>
        <w:t xml:space="preserve"> calls on many fields of law, whether at the national, European, or international level. This includes its influence on economic actors, the sources of law, the effectiveness of law, or on relations between States and markets or private operators, this concept becoming more and more vital (whether it concerns competition law, environmental law, European Union law, business law, digital law, criminal law, tax law, international economic law, international private law, or international public law, this list not at all being exhaustive). The fifth edition of the Doctoral Workshops therefore should help advance discussions on the notion of </w:t>
      </w:r>
      <w:r>
        <w:rPr>
          <w:rFonts w:ascii="Georgia" w:hAnsi="Georgia"/>
          <w:i/>
          <w:sz w:val="27"/>
        </w:rPr>
        <w:t xml:space="preserve">compliance </w:t>
      </w:r>
      <w:r>
        <w:rPr>
          <w:rFonts w:ascii="Georgia" w:hAnsi="Georgia"/>
          <w:sz w:val="27"/>
        </w:rPr>
        <w:t xml:space="preserve">and the way in which it alters, changes, disrupts </w:t>
      </w:r>
      <w:r>
        <w:rPr>
          <w:rFonts w:ascii="Georgia" w:hAnsi="Georgia"/>
          <w:sz w:val="27"/>
          <w:cs/>
        </w:rPr>
        <w:t xml:space="preserve">– </w:t>
      </w:r>
      <w:r>
        <w:rPr>
          <w:rFonts w:ascii="Georgia" w:hAnsi="Georgia"/>
          <w:sz w:val="27"/>
        </w:rPr>
        <w:t xml:space="preserve">or sometimes confirms or reinvents </w:t>
      </w:r>
      <w:r>
        <w:rPr>
          <w:rFonts w:ascii="Georgia" w:hAnsi="Georgia"/>
          <w:sz w:val="27"/>
          <w:cs/>
        </w:rPr>
        <w:t xml:space="preserve">– </w:t>
      </w:r>
      <w:r>
        <w:rPr>
          <w:rFonts w:ascii="Georgia" w:hAnsi="Georgia"/>
          <w:sz w:val="27"/>
        </w:rPr>
        <w:t>traditional legal reasoning.</w:t>
      </w:r>
    </w:p>
    <w:p w14:paraId="2D612F3E" w14:textId="77777777" w:rsidR="008809E9" w:rsidRPr="00FE4AE0" w:rsidRDefault="008809E9" w:rsidP="008809E9">
      <w:pPr>
        <w:jc w:val="both"/>
        <w:rPr>
          <w:rFonts w:ascii="Georgia" w:hAnsi="Georgia"/>
          <w:sz w:val="27"/>
          <w:szCs w:val="27"/>
          <w:shd w:val="clear" w:color="000000" w:fill="auto"/>
        </w:rPr>
      </w:pPr>
    </w:p>
    <w:p w14:paraId="045E38DD" w14:textId="77777777" w:rsidR="008809E9" w:rsidRPr="00FE4AE0" w:rsidRDefault="00802ACA" w:rsidP="008809E9">
      <w:pPr>
        <w:jc w:val="both"/>
        <w:rPr>
          <w:rFonts w:ascii="Georgia" w:hAnsi="Georgia"/>
          <w:sz w:val="27"/>
          <w:szCs w:val="27"/>
          <w:shd w:val="clear" w:color="000000" w:fill="auto"/>
        </w:rPr>
      </w:pPr>
      <w:r>
        <w:rPr>
          <w:rFonts w:ascii="Georgia" w:hAnsi="Georgia"/>
          <w:sz w:val="27"/>
        </w:rPr>
        <w:t xml:space="preserve">Contributions from all legal specialties are encouraged, the goal being to increase comprehension of the phenomenon of </w:t>
      </w:r>
      <w:r>
        <w:rPr>
          <w:rFonts w:ascii="Georgia" w:hAnsi="Georgia"/>
          <w:i/>
          <w:sz w:val="27"/>
        </w:rPr>
        <w:t xml:space="preserve">compliance </w:t>
      </w:r>
      <w:r>
        <w:rPr>
          <w:rFonts w:ascii="Georgia" w:hAnsi="Georgia"/>
          <w:sz w:val="27"/>
        </w:rPr>
        <w:t xml:space="preserve">through research that seeks to be resolutely interdisciplinary. This interdisciplinary aim should therefore help in taking advantage of the results obtained from other disciplines </w:t>
      </w:r>
      <w:r>
        <w:rPr>
          <w:rFonts w:ascii="Georgia" w:hAnsi="Georgia"/>
          <w:sz w:val="27"/>
          <w:cs/>
        </w:rPr>
        <w:t xml:space="preserve">– </w:t>
      </w:r>
      <w:r>
        <w:rPr>
          <w:rFonts w:ascii="Georgia" w:hAnsi="Georgia"/>
          <w:sz w:val="27"/>
        </w:rPr>
        <w:t xml:space="preserve">both in the legal domain and outside of it </w:t>
      </w:r>
      <w:r>
        <w:rPr>
          <w:rFonts w:ascii="Georgia" w:hAnsi="Georgia"/>
          <w:sz w:val="27"/>
          <w:cs/>
        </w:rPr>
        <w:t xml:space="preserve">– </w:t>
      </w:r>
      <w:r>
        <w:rPr>
          <w:rFonts w:ascii="Georgia" w:hAnsi="Georgia"/>
          <w:sz w:val="27"/>
        </w:rPr>
        <w:t xml:space="preserve">to offer a more detailed analysis of the consequences of </w:t>
      </w:r>
      <w:r>
        <w:rPr>
          <w:rFonts w:ascii="Georgia" w:hAnsi="Georgia"/>
          <w:i/>
          <w:sz w:val="27"/>
        </w:rPr>
        <w:t xml:space="preserve">compliance </w:t>
      </w:r>
      <w:r>
        <w:rPr>
          <w:rFonts w:ascii="Georgia" w:hAnsi="Georgia"/>
          <w:sz w:val="27"/>
        </w:rPr>
        <w:t>in each specific field considered.</w:t>
      </w:r>
    </w:p>
    <w:p w14:paraId="2DB839DF" w14:textId="77777777" w:rsidR="008809E9" w:rsidRDefault="008809E9" w:rsidP="008809E9">
      <w:pPr>
        <w:jc w:val="both"/>
        <w:rPr>
          <w:rFonts w:ascii="Georgia" w:hAnsi="Georgia"/>
          <w:color w:val="58595B"/>
          <w:sz w:val="27"/>
          <w:szCs w:val="27"/>
          <w:shd w:val="clear" w:color="000000" w:fill="auto"/>
        </w:rPr>
      </w:pPr>
    </w:p>
    <w:p w14:paraId="0F90F3B6" w14:textId="77777777" w:rsidR="00A7574F" w:rsidRPr="00FE4AE0" w:rsidRDefault="00802ACA" w:rsidP="00D447C5">
      <w:pPr>
        <w:jc w:val="both"/>
        <w:rPr>
          <w:rFonts w:ascii="Georgia" w:hAnsi="Georgia"/>
          <w:sz w:val="27"/>
          <w:szCs w:val="27"/>
          <w:shd w:val="clear" w:color="000000" w:fill="auto"/>
        </w:rPr>
      </w:pPr>
      <w:r>
        <w:rPr>
          <w:rFonts w:ascii="Georgia" w:hAnsi="Georgia"/>
          <w:sz w:val="27"/>
        </w:rPr>
        <w:lastRenderedPageBreak/>
        <w:t xml:space="preserve">The languages used for the Doctoral Workshops will be </w:t>
      </w:r>
      <w:r>
        <w:rPr>
          <w:rFonts w:ascii="Georgia" w:hAnsi="Georgia"/>
          <w:b/>
          <w:sz w:val="27"/>
        </w:rPr>
        <w:t>French</w:t>
      </w:r>
      <w:r>
        <w:rPr>
          <w:rFonts w:ascii="Georgia" w:hAnsi="Georgia"/>
          <w:sz w:val="27"/>
        </w:rPr>
        <w:t xml:space="preserve"> and </w:t>
      </w:r>
      <w:r>
        <w:rPr>
          <w:rFonts w:ascii="Georgia" w:hAnsi="Georgia"/>
          <w:b/>
          <w:sz w:val="27"/>
        </w:rPr>
        <w:t>English</w:t>
      </w:r>
      <w:r>
        <w:rPr>
          <w:rFonts w:ascii="Georgia" w:hAnsi="Georgia"/>
          <w:sz w:val="27"/>
        </w:rPr>
        <w:t xml:space="preserve">. </w:t>
      </w:r>
    </w:p>
    <w:p w14:paraId="46E23C79" w14:textId="77777777" w:rsidR="00067774" w:rsidRPr="00FE4AE0" w:rsidRDefault="00067774" w:rsidP="00D447C5">
      <w:pPr>
        <w:jc w:val="both"/>
        <w:rPr>
          <w:rFonts w:ascii="Georgia" w:hAnsi="Georgia"/>
          <w:sz w:val="27"/>
          <w:szCs w:val="27"/>
          <w:shd w:val="clear" w:color="000000" w:fill="auto"/>
        </w:rPr>
      </w:pPr>
    </w:p>
    <w:p w14:paraId="7036C000" w14:textId="77777777" w:rsidR="00D447C5" w:rsidRPr="00FE4AE0" w:rsidRDefault="00802ACA" w:rsidP="00D447C5">
      <w:pPr>
        <w:jc w:val="both"/>
        <w:rPr>
          <w:rFonts w:ascii="Georgia" w:hAnsi="Georgia"/>
          <w:sz w:val="27"/>
          <w:szCs w:val="27"/>
          <w:shd w:val="clear" w:color="000000" w:fill="auto"/>
        </w:rPr>
      </w:pPr>
      <w:r>
        <w:rPr>
          <w:rFonts w:ascii="Georgia" w:hAnsi="Georgia"/>
          <w:sz w:val="27"/>
        </w:rPr>
        <w:t>Interested candidates must be enrolled in a doctoral program, and make a presentation that</w:t>
      </w:r>
      <w:r w:rsidR="00D370D6">
        <w:rPr>
          <w:rFonts w:ascii="Georgia" w:hAnsi="Georgia"/>
          <w:sz w:val="27"/>
        </w:rPr>
        <w:t xml:space="preserve"> will be evaluated by the event’</w:t>
      </w:r>
      <w:r>
        <w:rPr>
          <w:rFonts w:ascii="Georgia" w:hAnsi="Georgia"/>
          <w:sz w:val="27"/>
        </w:rPr>
        <w:t>s Scientific Committee. The application must stipulate the presentation title, and provide a brief summary of its content (between 150 and 250 words), and inc</w:t>
      </w:r>
      <w:r w:rsidR="00D370D6">
        <w:rPr>
          <w:rFonts w:ascii="Georgia" w:hAnsi="Georgia"/>
          <w:sz w:val="27"/>
        </w:rPr>
        <w:t>lude the candidate’</w:t>
      </w:r>
      <w:r>
        <w:rPr>
          <w:rFonts w:ascii="Georgia" w:hAnsi="Georgia"/>
          <w:sz w:val="27"/>
        </w:rPr>
        <w:t>s curriculum vitae, as well as a document certifying their enrollment in a doctoral program.</w:t>
      </w:r>
    </w:p>
    <w:p w14:paraId="7F70BC3A" w14:textId="77777777" w:rsidR="00067774" w:rsidRDefault="00067774" w:rsidP="00D447C5">
      <w:pPr>
        <w:jc w:val="both"/>
        <w:rPr>
          <w:rFonts w:ascii="Georgia" w:hAnsi="Georgia"/>
          <w:color w:val="58595B"/>
          <w:sz w:val="27"/>
          <w:szCs w:val="27"/>
          <w:shd w:val="clear" w:color="000000" w:fill="auto"/>
        </w:rPr>
      </w:pPr>
    </w:p>
    <w:p w14:paraId="22F20392" w14:textId="77777777" w:rsidR="00067774" w:rsidRPr="00D921E6" w:rsidRDefault="00802ACA" w:rsidP="00D447C5">
      <w:pPr>
        <w:jc w:val="both"/>
        <w:rPr>
          <w:rFonts w:ascii="Georgia" w:hAnsi="Georgia"/>
          <w:sz w:val="27"/>
          <w:szCs w:val="27"/>
          <w:shd w:val="clear" w:color="000000" w:fill="auto"/>
        </w:rPr>
      </w:pPr>
      <w:r>
        <w:rPr>
          <w:rFonts w:ascii="Georgia" w:hAnsi="Georgia"/>
          <w:sz w:val="27"/>
        </w:rPr>
        <w:t>Applications must be sent by e-mail</w:t>
      </w:r>
      <w:r w:rsidR="00BE5B46">
        <w:rPr>
          <w:rFonts w:ascii="Georgia" w:hAnsi="Georgia"/>
          <w:sz w:val="27"/>
        </w:rPr>
        <w:t xml:space="preserve"> before April 3, 2020</w:t>
      </w:r>
      <w:r>
        <w:rPr>
          <w:rFonts w:ascii="Georgia" w:hAnsi="Georgia"/>
          <w:sz w:val="27"/>
        </w:rPr>
        <w:t xml:space="preserve"> to the following address: </w:t>
      </w:r>
      <w:r>
        <w:rPr>
          <w:rFonts w:ascii="Georgia" w:hAnsi="Georgia"/>
          <w:b/>
          <w:sz w:val="27"/>
        </w:rPr>
        <w:t>esl@ut-capitole.fr</w:t>
      </w:r>
      <w:r>
        <w:rPr>
          <w:rFonts w:ascii="Georgia" w:hAnsi="Georgia"/>
          <w:sz w:val="27"/>
        </w:rPr>
        <w:t>. The Scientific Committee will respond individually to each application, concerning its acceptance or non-acceptance, by e-mail.</w:t>
      </w:r>
    </w:p>
    <w:p w14:paraId="397FAD50" w14:textId="77777777" w:rsidR="00D447C5" w:rsidRPr="00D921E6" w:rsidRDefault="00D447C5" w:rsidP="00D447C5">
      <w:pPr>
        <w:rPr>
          <w:rFonts w:ascii="Georgia" w:hAnsi="Georgia"/>
          <w:sz w:val="27"/>
          <w:szCs w:val="27"/>
          <w:shd w:val="clear" w:color="000000" w:fill="auto"/>
        </w:rPr>
      </w:pPr>
    </w:p>
    <w:p w14:paraId="7228B585" w14:textId="77777777" w:rsidR="00CB2D4C" w:rsidRPr="00D921E6" w:rsidRDefault="00802ACA" w:rsidP="00D447C5">
      <w:pPr>
        <w:jc w:val="both"/>
        <w:rPr>
          <w:rFonts w:ascii="Georgia" w:hAnsi="Georgia"/>
          <w:sz w:val="27"/>
          <w:szCs w:val="27"/>
          <w:shd w:val="clear" w:color="000000" w:fill="auto"/>
        </w:rPr>
      </w:pPr>
      <w:r>
        <w:rPr>
          <w:rFonts w:ascii="Georgia" w:hAnsi="Georgia"/>
          <w:sz w:val="27"/>
        </w:rPr>
        <w:t xml:space="preserve">If the application is accepted, the doctoral candidate must send a printed version of their presentation before Friday, June 26, 2020 (12-15 pages in length, 7,000 - 8,000 words), and present it publicly during the workshops, in a 15-minute time slot. </w:t>
      </w:r>
    </w:p>
    <w:p w14:paraId="1EC898E5" w14:textId="77777777" w:rsidR="00CB2D4C" w:rsidRDefault="00CB2D4C" w:rsidP="00D447C5">
      <w:pPr>
        <w:jc w:val="both"/>
        <w:rPr>
          <w:rFonts w:ascii="Georgia" w:hAnsi="Georgia"/>
          <w:color w:val="58595B"/>
          <w:sz w:val="27"/>
          <w:szCs w:val="27"/>
          <w:shd w:val="clear" w:color="000000" w:fill="auto"/>
        </w:rPr>
      </w:pPr>
    </w:p>
    <w:p w14:paraId="109E3A1F" w14:textId="77777777" w:rsidR="0034095D" w:rsidRPr="00FE4AE0" w:rsidRDefault="00802ACA" w:rsidP="0034095D">
      <w:pPr>
        <w:jc w:val="both"/>
        <w:rPr>
          <w:rFonts w:ascii="Georgia" w:hAnsi="Georgia"/>
          <w:sz w:val="27"/>
          <w:szCs w:val="27"/>
          <w:shd w:val="clear" w:color="000000" w:fill="auto"/>
        </w:rPr>
      </w:pPr>
      <w:r>
        <w:rPr>
          <w:rFonts w:ascii="Georgia" w:hAnsi="Georgia"/>
          <w:sz w:val="27"/>
        </w:rPr>
        <w:t>All contributions must be original works (not previously published). The final versions of the articles (8,000 words maximum, footnotes included) will be subject to the approval of the Scientific Committee.</w:t>
      </w:r>
    </w:p>
    <w:p w14:paraId="21288231" w14:textId="77777777" w:rsidR="0034095D" w:rsidRPr="00FE4AE0" w:rsidRDefault="0034095D" w:rsidP="0034095D">
      <w:pPr>
        <w:jc w:val="both"/>
        <w:rPr>
          <w:rFonts w:ascii="Georgia" w:hAnsi="Georgia"/>
          <w:sz w:val="27"/>
          <w:szCs w:val="27"/>
          <w:shd w:val="clear" w:color="000000" w:fill="auto"/>
        </w:rPr>
      </w:pPr>
    </w:p>
    <w:p w14:paraId="2A175DDB" w14:textId="77777777" w:rsidR="00AC3E5E" w:rsidRPr="00FE4AE0" w:rsidRDefault="00802ACA" w:rsidP="00AC3E5E">
      <w:pPr>
        <w:jc w:val="both"/>
        <w:rPr>
          <w:rFonts w:ascii="Georgia" w:hAnsi="Georgia"/>
          <w:sz w:val="27"/>
          <w:szCs w:val="27"/>
          <w:shd w:val="clear" w:color="000000" w:fill="auto"/>
        </w:rPr>
      </w:pPr>
      <w:r>
        <w:rPr>
          <w:rFonts w:ascii="Georgia" w:hAnsi="Georgia"/>
          <w:sz w:val="27"/>
        </w:rPr>
        <w:t>The organization of the Doctoral Workshops and the publication of their presentations are co-financed by the European Un</w:t>
      </w:r>
      <w:r w:rsidR="00BC792C">
        <w:rPr>
          <w:rFonts w:ascii="Georgia" w:hAnsi="Georgia"/>
          <w:sz w:val="27"/>
        </w:rPr>
        <w:t>ion as part of the Jean Monnet</w:t>
      </w:r>
      <w:r>
        <w:rPr>
          <w:rFonts w:ascii="Georgia" w:hAnsi="Georgia"/>
          <w:sz w:val="27"/>
        </w:rPr>
        <w:t xml:space="preserve"> Centre of excellence, </w:t>
      </w:r>
      <w:r w:rsidR="00BC792C">
        <w:rPr>
          <w:rFonts w:ascii="Georgia" w:hAnsi="Georgia"/>
          <w:sz w:val="27"/>
        </w:rPr>
        <w:t xml:space="preserve">a </w:t>
      </w:r>
      <w:r w:rsidR="00BE5B46">
        <w:rPr>
          <w:rFonts w:ascii="Georgia" w:hAnsi="Georgia"/>
          <w:sz w:val="27"/>
        </w:rPr>
        <w:t xml:space="preserve">designation </w:t>
      </w:r>
      <w:r>
        <w:rPr>
          <w:rFonts w:ascii="Georgia" w:hAnsi="Georgia"/>
          <w:sz w:val="27"/>
        </w:rPr>
        <w:t>obtained by the European School of Law and the Research Institute on European, International and Comparative Law. The presentations will be published in the Cahiers Jean Monnet, a collection</w:t>
      </w:r>
      <w:r w:rsidR="00BE5B46">
        <w:rPr>
          <w:rFonts w:ascii="Georgia" w:hAnsi="Georgia"/>
          <w:sz w:val="27"/>
        </w:rPr>
        <w:t xml:space="preserve"> published by</w:t>
      </w:r>
      <w:r>
        <w:rPr>
          <w:rFonts w:ascii="Georgia" w:hAnsi="Georgia"/>
          <w:sz w:val="27"/>
        </w:rPr>
        <w:t xml:space="preserve"> the Presses universitai</w:t>
      </w:r>
      <w:bookmarkStart w:id="0" w:name="_GoBack"/>
      <w:bookmarkEnd w:id="0"/>
      <w:r>
        <w:rPr>
          <w:rFonts w:ascii="Georgia" w:hAnsi="Georgia"/>
          <w:sz w:val="27"/>
        </w:rPr>
        <w:t>res de Toulouse 1 Capitole.</w:t>
      </w:r>
    </w:p>
    <w:p w14:paraId="5D785C0B" w14:textId="77777777" w:rsidR="002400EE" w:rsidRPr="00D921E6" w:rsidRDefault="00802ACA" w:rsidP="002400EE">
      <w:pPr>
        <w:jc w:val="both"/>
        <w:rPr>
          <w:rFonts w:ascii="Georgia" w:hAnsi="Georgia"/>
          <w:sz w:val="27"/>
          <w:szCs w:val="27"/>
          <w:shd w:val="clear" w:color="000000" w:fill="auto"/>
        </w:rPr>
      </w:pPr>
      <w:r>
        <w:br/>
      </w:r>
      <w:r>
        <w:rPr>
          <w:rFonts w:ascii="Georgia" w:hAnsi="Georgia"/>
          <w:sz w:val="27"/>
        </w:rPr>
        <w:t xml:space="preserve">Registration is free of charge. The European School of Law of Toulouse 1 Capitole University will provide coffee breaks, as well as the closing banquet that will take place on </w:t>
      </w:r>
      <w:r>
        <w:rPr>
          <w:rFonts w:ascii="Georgia" w:hAnsi="Georgia"/>
          <w:b/>
          <w:sz w:val="27"/>
        </w:rPr>
        <w:t>Thursday, July 2, 2020</w:t>
      </w:r>
      <w:r>
        <w:rPr>
          <w:rFonts w:ascii="Georgia" w:hAnsi="Georgia"/>
          <w:sz w:val="27"/>
        </w:rPr>
        <w:t xml:space="preserve">. Each participant is responsible for paying their own travel and accommodation expenses. </w:t>
      </w:r>
    </w:p>
    <w:p w14:paraId="6D7008C1" w14:textId="77777777" w:rsidR="00D447C5" w:rsidRPr="002400EE" w:rsidRDefault="00802ACA" w:rsidP="002400EE">
      <w:pPr>
        <w:jc w:val="both"/>
        <w:rPr>
          <w:rFonts w:ascii="Georgia" w:hAnsi="Georgia"/>
          <w:color w:val="58595B"/>
          <w:sz w:val="27"/>
          <w:szCs w:val="27"/>
          <w:shd w:val="clear" w:color="000000" w:fill="auto"/>
        </w:rPr>
      </w:pPr>
      <w:r>
        <w:br/>
      </w:r>
    </w:p>
    <w:p w14:paraId="7E0CD07E" w14:textId="77777777" w:rsidR="00D447C5" w:rsidRPr="002400EE" w:rsidRDefault="00D447C5" w:rsidP="002400EE">
      <w:pPr>
        <w:jc w:val="both"/>
        <w:rPr>
          <w:rFonts w:ascii="Georgia" w:hAnsi="Georgia"/>
          <w:color w:val="58595B"/>
          <w:sz w:val="27"/>
          <w:szCs w:val="27"/>
          <w:shd w:val="clear" w:color="000000" w:fill="auto"/>
        </w:rPr>
      </w:pPr>
    </w:p>
    <w:p w14:paraId="4CA75FB1" w14:textId="77777777" w:rsidR="00D447C5" w:rsidRPr="002400EE" w:rsidRDefault="00802ACA" w:rsidP="002400EE">
      <w:pPr>
        <w:jc w:val="both"/>
        <w:rPr>
          <w:rFonts w:ascii="Georgia" w:hAnsi="Georgia"/>
          <w:color w:val="58595B"/>
          <w:sz w:val="27"/>
          <w:szCs w:val="27"/>
          <w:shd w:val="clear" w:color="000000" w:fill="auto"/>
        </w:rPr>
      </w:pPr>
      <w:r>
        <w:rPr>
          <w:rFonts w:ascii="Georgia" w:hAnsi="Georgia"/>
          <w:color w:val="58595B"/>
          <w:sz w:val="27"/>
        </w:rPr>
        <w:tab/>
      </w:r>
      <w:r>
        <w:rPr>
          <w:rFonts w:ascii="Georgia" w:hAnsi="Georgia"/>
          <w:color w:val="58595B"/>
          <w:sz w:val="27"/>
        </w:rPr>
        <w:tab/>
      </w:r>
      <w:r>
        <w:rPr>
          <w:rFonts w:ascii="Georgia" w:hAnsi="Georgia"/>
          <w:color w:val="58595B"/>
          <w:sz w:val="27"/>
        </w:rPr>
        <w:tab/>
      </w:r>
      <w:r>
        <w:rPr>
          <w:rFonts w:ascii="Georgia" w:hAnsi="Georgia"/>
          <w:color w:val="58595B"/>
          <w:sz w:val="27"/>
        </w:rPr>
        <w:tab/>
      </w:r>
      <w:r>
        <w:rPr>
          <w:rFonts w:ascii="Georgia" w:hAnsi="Georgia"/>
          <w:color w:val="58595B"/>
          <w:sz w:val="27"/>
        </w:rPr>
        <w:tab/>
        <w:t xml:space="preserve"> </w:t>
      </w:r>
    </w:p>
    <w:sectPr w:rsidR="00D447C5" w:rsidRPr="002400EE" w:rsidSect="00520C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C5"/>
    <w:rsid w:val="00067774"/>
    <w:rsid w:val="000A5988"/>
    <w:rsid w:val="001D0AFC"/>
    <w:rsid w:val="002400EE"/>
    <w:rsid w:val="00321DFC"/>
    <w:rsid w:val="0034095D"/>
    <w:rsid w:val="00520CD9"/>
    <w:rsid w:val="006934A5"/>
    <w:rsid w:val="00802ACA"/>
    <w:rsid w:val="00862A30"/>
    <w:rsid w:val="008809E9"/>
    <w:rsid w:val="00A7574F"/>
    <w:rsid w:val="00AC3E5E"/>
    <w:rsid w:val="00B240EE"/>
    <w:rsid w:val="00B71DFC"/>
    <w:rsid w:val="00BC792C"/>
    <w:rsid w:val="00BE5B46"/>
    <w:rsid w:val="00CB2D4C"/>
    <w:rsid w:val="00D370D6"/>
    <w:rsid w:val="00D447C5"/>
    <w:rsid w:val="00D921E6"/>
    <w:rsid w:val="00FE4A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92273"/>
  <w14:defaultImageDpi w14:val="0"/>
  <w15:docId w15:val="{4443EB58-547C-4BB3-9852-3F5133AB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Pr>
      <w:b/>
      <w:lang w:val="en-US" w:eastAsia="en-US"/>
    </w:rPr>
  </w:style>
  <w:style w:type="character" w:styleId="Lienhypertexte">
    <w:name w:val="Hyperlink"/>
    <w:basedOn w:val="Policepardfaut"/>
    <w:uiPriority w:val="99"/>
    <w:unhideWhenUsed/>
    <w:rPr>
      <w:color w:val="0563C1"/>
      <w:u w:val="single"/>
      <w:lang w:val="en-US" w:eastAsia="en-US"/>
    </w:rPr>
  </w:style>
  <w:style w:type="character" w:styleId="Marquedecommentaire">
    <w:name w:val="annotation reference"/>
    <w:basedOn w:val="Policepardfaut"/>
    <w:uiPriority w:val="99"/>
    <w:semiHidden/>
    <w:unhideWhenUsed/>
    <w:rsid w:val="00D370D6"/>
    <w:rPr>
      <w:sz w:val="16"/>
      <w:szCs w:val="16"/>
    </w:rPr>
  </w:style>
  <w:style w:type="paragraph" w:styleId="Commentaire">
    <w:name w:val="annotation text"/>
    <w:basedOn w:val="Normal"/>
    <w:link w:val="CommentaireCar"/>
    <w:uiPriority w:val="99"/>
    <w:semiHidden/>
    <w:unhideWhenUsed/>
    <w:rsid w:val="00D370D6"/>
    <w:rPr>
      <w:sz w:val="20"/>
      <w:szCs w:val="20"/>
    </w:rPr>
  </w:style>
  <w:style w:type="character" w:customStyle="1" w:styleId="CommentaireCar">
    <w:name w:val="Commentaire Car"/>
    <w:basedOn w:val="Policepardfaut"/>
    <w:link w:val="Commentaire"/>
    <w:uiPriority w:val="99"/>
    <w:semiHidden/>
    <w:rsid w:val="00D370D6"/>
    <w:rPr>
      <w:rFonts w:cs="Times New Roman"/>
      <w:lang w:val="en-US" w:eastAsia="en-US"/>
    </w:rPr>
  </w:style>
  <w:style w:type="paragraph" w:styleId="Objetducommentaire">
    <w:name w:val="annotation subject"/>
    <w:basedOn w:val="Commentaire"/>
    <w:next w:val="Commentaire"/>
    <w:link w:val="ObjetducommentaireCar"/>
    <w:uiPriority w:val="99"/>
    <w:semiHidden/>
    <w:unhideWhenUsed/>
    <w:rsid w:val="00D370D6"/>
    <w:rPr>
      <w:b/>
      <w:bCs/>
    </w:rPr>
  </w:style>
  <w:style w:type="character" w:customStyle="1" w:styleId="ObjetducommentaireCar">
    <w:name w:val="Objet du commentaire Car"/>
    <w:basedOn w:val="CommentaireCar"/>
    <w:link w:val="Objetducommentaire"/>
    <w:uiPriority w:val="99"/>
    <w:semiHidden/>
    <w:rsid w:val="00D370D6"/>
    <w:rPr>
      <w:rFonts w:cs="Times New Roman"/>
      <w:b/>
      <w:bCs/>
      <w:lang w:val="en-US" w:eastAsia="en-US"/>
    </w:rPr>
  </w:style>
  <w:style w:type="paragraph" w:styleId="Textedebulles">
    <w:name w:val="Balloon Text"/>
    <w:basedOn w:val="Normal"/>
    <w:link w:val="TextedebullesCar"/>
    <w:uiPriority w:val="99"/>
    <w:semiHidden/>
    <w:unhideWhenUsed/>
    <w:rsid w:val="00D370D6"/>
    <w:rPr>
      <w:rFonts w:ascii="Tahoma" w:hAnsi="Tahoma" w:cs="Tahoma"/>
      <w:sz w:val="16"/>
      <w:szCs w:val="16"/>
    </w:rPr>
  </w:style>
  <w:style w:type="character" w:customStyle="1" w:styleId="TextedebullesCar">
    <w:name w:val="Texte de bulles Car"/>
    <w:basedOn w:val="Policepardfaut"/>
    <w:link w:val="Textedebulles"/>
    <w:uiPriority w:val="99"/>
    <w:semiHidden/>
    <w:rsid w:val="00D370D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THERON</dc:creator>
  <cp:lastModifiedBy>MARIE DELORD</cp:lastModifiedBy>
  <cp:revision>3</cp:revision>
  <dcterms:created xsi:type="dcterms:W3CDTF">2020-01-20T12:02:00Z</dcterms:created>
  <dcterms:modified xsi:type="dcterms:W3CDTF">2020-01-20T12:02:00Z</dcterms:modified>
</cp:coreProperties>
</file>